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BF15" w14:textId="77777777" w:rsidR="00F93A8A" w:rsidRDefault="00F93A8A" w:rsidP="00F93A8A">
      <w:pPr>
        <w:rPr>
          <w:rFonts w:ascii="Helvetica" w:eastAsia="Times New Roman" w:hAnsi="Helvetica" w:cs="Helvetica"/>
          <w:sz w:val="20"/>
          <w:szCs w:val="20"/>
        </w:rPr>
      </w:pPr>
      <w:r>
        <w:rPr>
          <w:rFonts w:ascii="Helvetica" w:eastAsia="Times New Roman" w:hAnsi="Helvetica" w:cs="Helvetica"/>
          <w:sz w:val="20"/>
          <w:szCs w:val="20"/>
        </w:rPr>
        <w:t>Kimberly D. Bose Secretary</w:t>
      </w:r>
    </w:p>
    <w:p w14:paraId="228C3D4E" w14:textId="77777777" w:rsidR="00F93A8A" w:rsidRDefault="00F93A8A" w:rsidP="00F93A8A">
      <w:pPr>
        <w:rPr>
          <w:rFonts w:ascii="Helvetica" w:eastAsia="Times New Roman" w:hAnsi="Helvetica" w:cs="Helvetica"/>
          <w:sz w:val="20"/>
          <w:szCs w:val="20"/>
        </w:rPr>
      </w:pPr>
      <w:r>
        <w:rPr>
          <w:rFonts w:ascii="Helvetica" w:eastAsia="Times New Roman" w:hAnsi="Helvetica" w:cs="Helvetica"/>
          <w:sz w:val="20"/>
          <w:szCs w:val="20"/>
        </w:rPr>
        <w:t>Federal Energy Regulatory Commission</w:t>
      </w:r>
    </w:p>
    <w:p w14:paraId="7918A768" w14:textId="77777777" w:rsidR="00F93A8A" w:rsidRDefault="00F93A8A" w:rsidP="00F93A8A">
      <w:pPr>
        <w:rPr>
          <w:rFonts w:ascii="Helvetica" w:eastAsia="Times New Roman" w:hAnsi="Helvetica" w:cs="Helvetica"/>
          <w:sz w:val="20"/>
          <w:szCs w:val="20"/>
        </w:rPr>
      </w:pPr>
      <w:r>
        <w:rPr>
          <w:rFonts w:ascii="Helvetica" w:eastAsia="Times New Roman" w:hAnsi="Helvetica" w:cs="Helvetica"/>
          <w:sz w:val="20"/>
          <w:szCs w:val="20"/>
        </w:rPr>
        <w:t>888 First Street N. E. Room 1A</w:t>
      </w:r>
    </w:p>
    <w:p w14:paraId="77998520" w14:textId="45453299" w:rsidR="00F93A8A" w:rsidRDefault="00F93A8A">
      <w:pPr>
        <w:rPr>
          <w:rFonts w:ascii="Helvetica" w:eastAsia="Times New Roman" w:hAnsi="Helvetica" w:cs="Helvetica"/>
          <w:sz w:val="20"/>
          <w:szCs w:val="20"/>
        </w:rPr>
      </w:pPr>
      <w:r>
        <w:rPr>
          <w:rFonts w:ascii="Helvetica" w:eastAsia="Times New Roman" w:hAnsi="Helvetica" w:cs="Helvetica"/>
          <w:sz w:val="20"/>
          <w:szCs w:val="20"/>
        </w:rPr>
        <w:t>Washington D.C. 20428</w:t>
      </w:r>
    </w:p>
    <w:p w14:paraId="2A5A32FE" w14:textId="616305A6" w:rsidR="00273A93" w:rsidRDefault="00273A93">
      <w:pPr>
        <w:rPr>
          <w:rFonts w:ascii="Helvetica" w:eastAsia="Times New Roman" w:hAnsi="Helvetica" w:cs="Helvetica"/>
          <w:sz w:val="20"/>
          <w:szCs w:val="20"/>
        </w:rPr>
      </w:pPr>
    </w:p>
    <w:p w14:paraId="0D6BCF2E" w14:textId="65BC9D47" w:rsidR="00F93A8A" w:rsidRPr="00273A93" w:rsidRDefault="00273A93">
      <w:pPr>
        <w:rPr>
          <w:rFonts w:ascii="Helvetica" w:eastAsia="Times New Roman" w:hAnsi="Helvetica" w:cs="Helvetica"/>
          <w:sz w:val="20"/>
          <w:szCs w:val="20"/>
        </w:rPr>
      </w:pPr>
      <w:r>
        <w:rPr>
          <w:rFonts w:ascii="Helvetica" w:eastAsia="Times New Roman" w:hAnsi="Helvetica" w:cs="Helvetica"/>
          <w:sz w:val="20"/>
          <w:szCs w:val="20"/>
        </w:rPr>
        <w:t>Dear FERC Commissioners,</w:t>
      </w:r>
    </w:p>
    <w:p w14:paraId="46C5925C" w14:textId="579515A2" w:rsidR="002115DC" w:rsidRDefault="00B94A37">
      <w:r>
        <w:t xml:space="preserve">The process of the re-licensing of Lake Almanor has been </w:t>
      </w:r>
      <w:r w:rsidR="002560AC">
        <w:t>an exceptionally long</w:t>
      </w:r>
      <w:r>
        <w:t xml:space="preserve"> and unnecessarily drawn out one.  </w:t>
      </w:r>
    </w:p>
    <w:p w14:paraId="05503E9E" w14:textId="4C882A61" w:rsidR="00B94A37" w:rsidRDefault="00B94A37">
      <w:r>
        <w:t xml:space="preserve">When the process started there was </w:t>
      </w:r>
      <w:r w:rsidR="00CE4B88">
        <w:t>collaborative group of stakeholders that worked diligently for the benefit of</w:t>
      </w:r>
      <w:r w:rsidR="00273A93">
        <w:t xml:space="preserve"> the</w:t>
      </w:r>
      <w:r w:rsidR="00CE4B88">
        <w:t xml:space="preserve"> license, the people and the lake.  Through their tireless efforts, an agreement was struck.  Until special interest within the State Water Resources Control Board, threw the collaboration into chaos b</w:t>
      </w:r>
      <w:r w:rsidR="002560AC">
        <w:t xml:space="preserve">y </w:t>
      </w:r>
      <w:r w:rsidR="00CE4B88">
        <w:t xml:space="preserve">adding the </w:t>
      </w:r>
      <w:r w:rsidR="002560AC">
        <w:t>3-degree</w:t>
      </w:r>
      <w:r w:rsidR="00CE4B88">
        <w:t xml:space="preserve"> Celsius temperature change 9 miles downstream at the last minute.  </w:t>
      </w:r>
    </w:p>
    <w:p w14:paraId="7FB99781" w14:textId="3B658531" w:rsidR="00CE4B88" w:rsidRDefault="00CE4B88">
      <w:r>
        <w:t xml:space="preserve">In the long days that the 2105 group met, that included the State Water Resources Control Board, never was the Thermal Curtain, or cold water only discussed.  The entire 2105 group failed to reach a successful conclusion, due to this one last minute, </w:t>
      </w:r>
      <w:r w:rsidR="00273A93">
        <w:t>unreasonable</w:t>
      </w:r>
      <w:r>
        <w:t xml:space="preserve"> change.  </w:t>
      </w:r>
    </w:p>
    <w:p w14:paraId="1FB18B34" w14:textId="1DCD4570" w:rsidR="002560AC" w:rsidRDefault="00CE4B88">
      <w:r>
        <w:t xml:space="preserve">Here we are </w:t>
      </w:r>
      <w:r w:rsidR="00C532D5">
        <w:t>almost</w:t>
      </w:r>
      <w:r>
        <w:t xml:space="preserve"> 20 years later, still without the 2105 license.  The promises and good faith negotiations that were in the </w:t>
      </w:r>
      <w:r w:rsidR="00C532D5">
        <w:t xml:space="preserve">settlement agreement for the </w:t>
      </w:r>
      <w:r>
        <w:t xml:space="preserve">2105 should be upheld without change.  That collaboration monitored the lake quality, the lake level, the flows, the increase in community facilities, and much more.  </w:t>
      </w:r>
      <w:r w:rsidR="002560AC">
        <w:t xml:space="preserve">For the State Water Resources Control Board to change a single intent of the collaborative 2105 agreement is wrong and should not be considered by the Federal Energy Regulatory Commission. </w:t>
      </w:r>
    </w:p>
    <w:p w14:paraId="02BC08E3" w14:textId="77777777" w:rsidR="002560AC" w:rsidRDefault="002560AC">
      <w:r>
        <w:t xml:space="preserve">The alternative recommended clearly states, no adverse effect to the community.  Clearly, the science shows that increasing the flows and making the flows only the coldest of water, will gravely adversely affect our lake, our environment and our community.   </w:t>
      </w:r>
    </w:p>
    <w:p w14:paraId="5F7B70B6" w14:textId="66ED9BC6" w:rsidR="00CE4B88" w:rsidRDefault="002560AC">
      <w:r>
        <w:t>Thank you for considering the people of Lake Almanor, the fishery of Lake Almanor, the livelihood of our community and doing what is right, b</w:t>
      </w:r>
      <w:r w:rsidR="00F93A8A">
        <w:t>y</w:t>
      </w:r>
      <w:r>
        <w:t xml:space="preserve"> supporting the collaborative</w:t>
      </w:r>
      <w:r w:rsidR="00F93A8A">
        <w:t xml:space="preserve"> settlement agreement for the </w:t>
      </w:r>
      <w:r>
        <w:t>2</w:t>
      </w:r>
      <w:r w:rsidR="00F93A8A">
        <w:t>10</w:t>
      </w:r>
      <w:r>
        <w:t xml:space="preserve">5 license without the unreasonable and unnecessary change that was added by the State Water Resources Control Board. </w:t>
      </w:r>
    </w:p>
    <w:p w14:paraId="447DDCB6" w14:textId="3CF5CE9C" w:rsidR="00C532D5" w:rsidRDefault="00C532D5">
      <w:r>
        <w:t>Sincerely,</w:t>
      </w:r>
    </w:p>
    <w:p w14:paraId="3D040559" w14:textId="5E4DF688" w:rsidR="00C532D5" w:rsidRDefault="00C532D5"/>
    <w:p w14:paraId="6FF79905" w14:textId="08B637F3" w:rsidR="00C532D5" w:rsidRDefault="00C532D5"/>
    <w:p w14:paraId="518D24BE" w14:textId="77777777" w:rsidR="00C532D5" w:rsidRDefault="00C532D5"/>
    <w:sectPr w:rsidR="00C5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37"/>
    <w:rsid w:val="002115DC"/>
    <w:rsid w:val="002560AC"/>
    <w:rsid w:val="00273A93"/>
    <w:rsid w:val="003F3666"/>
    <w:rsid w:val="00B94A37"/>
    <w:rsid w:val="00C532D5"/>
    <w:rsid w:val="00CE4B88"/>
    <w:rsid w:val="00E8567F"/>
    <w:rsid w:val="00EE1496"/>
    <w:rsid w:val="00F9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702"/>
  <w15:chartTrackingRefBased/>
  <w15:docId w15:val="{CA931425-0406-457B-86D4-454EDAFD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Durkin</dc:creator>
  <cp:keywords/>
  <dc:description/>
  <cp:lastModifiedBy>Susan Bryner</cp:lastModifiedBy>
  <cp:revision>5</cp:revision>
  <dcterms:created xsi:type="dcterms:W3CDTF">2021-05-03T22:01:00Z</dcterms:created>
  <dcterms:modified xsi:type="dcterms:W3CDTF">2021-07-01T19:36:00Z</dcterms:modified>
</cp:coreProperties>
</file>